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jc w:val="center"/>
      </w:pPr>
      <w:r>
        <w:drawing>
          <wp:inline xmlns:a="http://schemas.openxmlformats.org/drawingml/2006/main" xmlns:pic="http://schemas.openxmlformats.org/drawingml/2006/picture">
            <wp:extent cx="2011680" cy="1324579"/>
            <wp:docPr id="1" name="Picture 1"/>
            <wp:cNvGraphicFramePr>
              <a:graphicFrameLocks noChangeAspect="1"/>
            </wp:cNvGraphicFramePr>
            <a:graphic>
              <a:graphicData uri="http://schemas.openxmlformats.org/drawingml/2006/picture">
                <pic:pic>
                  <pic:nvPicPr>
                    <pic:cNvPr id="0" name="TWI-logo-stacked.png"/>
                    <pic:cNvPicPr/>
                  </pic:nvPicPr>
                  <pic:blipFill>
                    <a:blip r:embed="rId10"/>
                    <a:stretch>
                      <a:fillRect/>
                    </a:stretch>
                  </pic:blipFill>
                  <pic:spPr>
                    <a:xfrm>
                      <a:off x="0" y="0"/>
                      <a:ext cx="2011680" cy="1324579"/>
                    </a:xfrm>
                    <a:prstGeom prst="rect"/>
                  </pic:spPr>
                </pic:pic>
              </a:graphicData>
            </a:graphic>
          </wp:inline>
        </w:drawing>
      </w:r>
    </w:p>
    <w:p>
      <w:pPr>
        <w:spacing w:after="0"/>
      </w:pPr>
    </w:p>
    <w:p>
      <w:pPr>
        <w:spacing w:after="0"/>
      </w:pPr>
    </w:p>
    <w:p>
      <w:pPr>
        <w:spacing w:after="0"/>
      </w:pPr>
    </w:p>
    <w:p>
      <w:pPr>
        <w:spacing w:after="80"/>
        <w:jc w:val="center"/>
      </w:pPr>
      <w:r>
        <w:rPr>
          <w:rFonts w:ascii="Playfair Display" w:hAnsi="Playfair Display" w:eastAsia="Playfair Display"/>
          <w:b/>
          <w:i w:val="0"/>
          <w:color w:val="2D4D42"/>
          <w:sz w:val="32"/>
        </w:rPr>
        <w:t>Example State Operations Office</w:t>
      </w:r>
    </w:p>
    <w:p>
      <w:pPr>
        <w:spacing w:after="80"/>
        <w:jc w:val="center"/>
      </w:pPr>
      <w:r>
        <w:rPr>
          <w:rFonts w:ascii="Playfair Display" w:hAnsi="Playfair Display" w:eastAsia="Playfair Display"/>
          <w:b w:val="0"/>
          <w:i w:val="0"/>
          <w:color w:val="2D4D42"/>
          <w:sz w:val="28"/>
        </w:rPr>
        <w:t>Retaliation complaint, Budget Division</w:t>
      </w:r>
    </w:p>
    <w:p>
      <w:pPr>
        <w:spacing w:after="80"/>
        <w:jc w:val="center"/>
      </w:pPr>
      <w:r>
        <w:rPr>
          <w:rFonts w:ascii="Montserrat" w:hAnsi="Montserrat" w:eastAsia="Montserrat"/>
          <w:b/>
          <w:i w:val="0"/>
          <w:color w:val="718878"/>
          <w:sz w:val="26"/>
        </w:rPr>
        <w:t>Draft Report</w:t>
      </w:r>
    </w:p>
    <w:p>
      <w:pPr>
        <w:spacing w:after="0"/>
      </w:pPr>
    </w:p>
    <w:p>
      <w:pPr>
        <w:spacing w:after="0"/>
      </w:pPr>
    </w:p>
    <w:p>
      <w:pPr>
        <w:spacing w:after="0"/>
      </w:pPr>
    </w:p>
    <w:p>
      <w:pPr>
        <w:spacing w:after="0"/>
      </w:pPr>
    </w:p>
    <w:p>
      <w:pPr>
        <w:spacing w:after="0"/>
      </w:pPr>
    </w:p>
    <w:p>
      <w:pPr>
        <w:spacing w:after="0"/>
      </w:pPr>
    </w:p>
    <w:p>
      <w:pPr>
        <w:spacing w:after="0"/>
      </w:pPr>
    </w:p>
    <w:p>
      <w:pPr>
        <w:spacing w:after="0"/>
      </w:pPr>
    </w:p>
    <w:p>
      <w:pPr>
        <w:spacing w:after="40"/>
        <w:jc w:val="center"/>
      </w:pPr>
      <w:r>
        <w:rPr>
          <w:rFonts w:ascii="Montserrat" w:hAnsi="Montserrat" w:eastAsia="Montserrat"/>
          <w:b/>
          <w:i w:val="0"/>
          <w:sz w:val="22"/>
        </w:rPr>
        <w:t>Drafted By:</w:t>
      </w:r>
    </w:p>
    <w:p>
      <w:pPr>
        <w:spacing w:after="40"/>
        <w:jc w:val="center"/>
      </w:pPr>
      <w:r>
        <w:rPr>
          <w:rFonts w:ascii="Montserrat" w:hAnsi="Montserrat" w:eastAsia="Montserrat"/>
          <w:b w:val="0"/>
          <w:i w:val="0"/>
          <w:sz w:val="22"/>
        </w:rPr>
        <w:t>Demo Administrator</w:t>
      </w:r>
    </w:p>
    <w:p>
      <w:pPr>
        <w:spacing w:after="40"/>
        <w:jc w:val="center"/>
      </w:pPr>
      <w:r>
        <w:rPr>
          <w:rFonts w:ascii="Montserrat" w:hAnsi="Montserrat" w:eastAsia="Montserrat"/>
          <w:b w:val="0"/>
          <w:i w:val="0"/>
          <w:sz w:val="22"/>
        </w:rPr>
        <w:t>FairFind Demo Practice</w:t>
      </w:r>
    </w:p>
    <w:p>
      <w:pPr>
        <w:spacing w:after="40"/>
        <w:jc w:val="center"/>
      </w:pPr>
      <w:r>
        <w:rPr>
          <w:rFonts w:ascii="Montserrat" w:hAnsi="Montserrat" w:eastAsia="Montserrat"/>
          <w:b w:val="0"/>
          <w:i w:val="0"/>
          <w:sz w:val="22"/>
        </w:rPr>
        <w:t>demo@example.com</w:t>
      </w:r>
    </w:p>
    <w:p>
      <w:pPr>
        <w:spacing w:after="40"/>
        <w:jc w:val="center"/>
      </w:pPr>
      <w:r>
        <w:rPr>
          <w:rFonts w:ascii="Montserrat" w:hAnsi="Montserrat" w:eastAsia="Montserrat"/>
          <w:b w:val="0"/>
          <w:i w:val="0"/>
          <w:sz w:val="22"/>
        </w:rPr>
        <w:t>www.transformativeinvestigations.com</w:t>
      </w:r>
    </w:p>
    <w:p>
      <w:r>
        <w:br w:type="page"/>
      </w:r>
    </w:p>
    <w:p>
      <w:pPr>
        <w:spacing w:after="160"/>
      </w:pPr>
      <w:r>
        <w:rPr>
          <w:rFonts w:ascii="Playfair Display" w:hAnsi="Playfair Display" w:eastAsia="Playfair Display"/>
          <w:b/>
          <w:i w:val="0"/>
          <w:color w:val="2D4D42"/>
          <w:sz w:val="26"/>
        </w:rPr>
        <w:t>Table of Contents</w:t>
      </w:r>
    </w:p>
    <w:p>
      <w:pPr>
        <w:spacing w:after="60"/>
      </w:pPr>
      <w:r>
        <w:rPr>
          <w:rFonts w:ascii="Montserrat" w:hAnsi="Montserrat" w:eastAsia="Montserrat"/>
          <w:b w:val="0"/>
          <w:i w:val="0"/>
          <w:sz w:val="22"/>
        </w:rPr>
        <w:t>I. Engagement and Scope</w:t>
      </w:r>
    </w:p>
    <w:p>
      <w:pPr>
        <w:spacing w:after="60"/>
      </w:pPr>
      <w:r>
        <w:rPr>
          <w:rFonts w:ascii="Montserrat" w:hAnsi="Montserrat" w:eastAsia="Montserrat"/>
          <w:b w:val="0"/>
          <w:i w:val="0"/>
          <w:sz w:val="22"/>
        </w:rPr>
        <w:t>II. Methodology</w:t>
      </w:r>
    </w:p>
    <w:p>
      <w:pPr>
        <w:spacing w:after="60"/>
      </w:pPr>
      <w:r>
        <w:rPr>
          <w:rFonts w:ascii="Montserrat" w:hAnsi="Montserrat" w:eastAsia="Montserrat"/>
          <w:b w:val="0"/>
          <w:i w:val="0"/>
          <w:sz w:val="22"/>
        </w:rPr>
        <w:t>III. Executive Summary</w:t>
      </w:r>
    </w:p>
    <w:p>
      <w:pPr>
        <w:spacing w:after="60"/>
      </w:pPr>
      <w:r>
        <w:rPr>
          <w:rFonts w:ascii="Montserrat" w:hAnsi="Montserrat" w:eastAsia="Montserrat"/>
          <w:b w:val="0"/>
          <w:i w:val="0"/>
          <w:sz w:val="22"/>
        </w:rPr>
        <w:t>IV. Applicable Policies</w:t>
      </w:r>
    </w:p>
    <w:p>
      <w:pPr>
        <w:spacing w:after="60"/>
      </w:pPr>
      <w:r>
        <w:rPr>
          <w:rFonts w:ascii="Montserrat" w:hAnsi="Montserrat" w:eastAsia="Montserrat"/>
          <w:b w:val="0"/>
          <w:i w:val="0"/>
          <w:sz w:val="22"/>
        </w:rPr>
        <w:t>V. Allegations and Findings</w:t>
      </w:r>
    </w:p>
    <w:p>
      <w:pPr>
        <w:spacing w:after="60"/>
      </w:pPr>
      <w:r>
        <w:rPr>
          <w:rFonts w:ascii="Montserrat" w:hAnsi="Montserrat" w:eastAsia="Montserrat"/>
          <w:b w:val="0"/>
          <w:i w:val="0"/>
          <w:sz w:val="22"/>
        </w:rPr>
        <w:t>VI. Conclusion</w:t>
      </w:r>
    </w:p>
    <w:p>
      <w:pPr>
        <w:spacing w:after="60"/>
      </w:pPr>
      <w:r>
        <w:rPr>
          <w:rFonts w:ascii="Montserrat" w:hAnsi="Montserrat" w:eastAsia="Montserrat"/>
          <w:b w:val="0"/>
          <w:i w:val="0"/>
          <w:sz w:val="22"/>
        </w:rPr>
        <w:t>Appendix A — Evidence Reviewed</w:t>
      </w:r>
    </w:p>
    <w:p>
      <w:pPr>
        <w:spacing w:after="60"/>
      </w:pPr>
      <w:r>
        <w:rPr>
          <w:rFonts w:ascii="Montserrat" w:hAnsi="Montserrat" w:eastAsia="Montserrat"/>
          <w:b w:val="0"/>
          <w:i w:val="0"/>
          <w:sz w:val="22"/>
        </w:rPr>
        <w:t>Appendix B — Witness Statements</w:t>
      </w:r>
    </w:p>
    <w:p>
      <w:pPr>
        <w:spacing w:after="160"/>
      </w:pPr>
      <w:r>
        <w:rPr>
          <w:rFonts w:ascii="Montserrat" w:hAnsi="Montserrat" w:eastAsia="Montserrat"/>
          <w:b w:val="0"/>
          <w:i/>
          <w:color w:val="718878"/>
          <w:sz w:val="18"/>
        </w:rPr>
        <w:t>(Update page numbers, or replace this list with an automatic table of contents, before finalizing.)</w:t>
      </w:r>
    </w:p>
    <w:p>
      <w:r>
        <w:br w:type="page"/>
      </w:r>
    </w:p>
    <w:p>
      <w:pPr>
        <w:pStyle w:val="Heading1"/>
        <w:spacing w:before="320" w:after="120"/>
      </w:pPr>
      <w:r>
        <w:rPr>
          <w:rFonts w:ascii="Playfair Display" w:hAnsi="Playfair Display" w:eastAsia="Playfair Display"/>
          <w:b/>
          <w:i w:val="0"/>
          <w:color w:val="2D4D42"/>
          <w:sz w:val="30"/>
        </w:rPr>
        <w:t>I. Engagement and Scope</w:t>
      </w:r>
    </w:p>
    <w:p>
      <w:pPr>
        <w:spacing w:after="160"/>
      </w:pPr>
      <w:r>
        <w:rPr>
          <w:rFonts w:ascii="Montserrat" w:hAnsi="Montserrat" w:eastAsia="Montserrat"/>
          <w:b w:val="0"/>
          <w:i w:val="0"/>
          <w:sz w:val="22"/>
        </w:rPr>
        <w:t>On August 24, 2026, I was retained by Example State Operations Office to conduct an independent fact-finding investigation into workplace concerns raised regarding the conduct of Bailey Example, Budget Manager, Budget Division. The complainant in this matter is Alex Sample, Senior Budget Analyst, Budget Division. [Describe how the matter was referred and any prior process.]</w:t>
      </w:r>
    </w:p>
    <w:p>
      <w:pPr>
        <w:spacing w:after="160"/>
      </w:pPr>
      <w:r>
        <w:rPr>
          <w:rFonts w:ascii="Montserrat" w:hAnsi="Montserrat" w:eastAsia="Montserrat"/>
          <w:b w:val="0"/>
          <w:i w:val="0"/>
          <w:sz w:val="22"/>
        </w:rPr>
        <w:t>A senior budget analyst alleges that after raising concerns about overtime approvals in June, their supervisor removed them from the forecasting project, changed their schedule, and gave them a below-standard mid-year review.</w:t>
      </w:r>
    </w:p>
    <w:p>
      <w:pPr>
        <w:spacing w:after="160"/>
      </w:pPr>
      <w:r>
        <w:rPr>
          <w:rFonts w:ascii="Montserrat" w:hAnsi="Montserrat" w:eastAsia="Montserrat"/>
          <w:b w:val="0"/>
          <w:i w:val="0"/>
          <w:sz w:val="22"/>
        </w:rPr>
        <w:t>I have grouped the allegations addressed in this report as follows.</w:t>
      </w:r>
    </w:p>
    <w:p>
      <w:pPr>
        <w:pStyle w:val="ListBullet"/>
        <w:spacing w:after="160"/>
      </w:pPr>
      <w:r>
        <w:rPr>
          <w:rFonts w:ascii="Montserrat" w:hAnsi="Montserrat" w:eastAsia="Montserrat"/>
          <w:b w:val="0"/>
          <w:i w:val="0"/>
          <w:sz w:val="22"/>
        </w:rPr>
        <w:t>Removal from the forecasting project in July was retaliation for the June overtime complaint.</w:t>
      </w:r>
    </w:p>
    <w:p>
      <w:pPr>
        <w:pStyle w:val="ListBullet"/>
        <w:spacing w:after="160"/>
      </w:pPr>
      <w:r>
        <w:rPr>
          <w:rFonts w:ascii="Montserrat" w:hAnsi="Montserrat" w:eastAsia="Montserrat"/>
          <w:b w:val="0"/>
          <w:i w:val="0"/>
          <w:sz w:val="22"/>
        </w:rPr>
        <w:t>The schedule change in August was retaliation for the same complaint.</w:t>
      </w:r>
    </w:p>
    <w:p>
      <w:pPr>
        <w:pStyle w:val="ListBullet"/>
        <w:spacing w:after="160"/>
      </w:pPr>
      <w:r>
        <w:rPr>
          <w:rFonts w:ascii="Montserrat" w:hAnsi="Montserrat" w:eastAsia="Montserrat"/>
          <w:b w:val="0"/>
          <w:i w:val="0"/>
          <w:sz w:val="22"/>
        </w:rPr>
        <w:t>The mid-year review rating was lowered in retaliation for the complaint.</w:t>
      </w:r>
    </w:p>
    <w:p>
      <w:pPr>
        <w:pStyle w:val="Heading1"/>
        <w:spacing w:before="320" w:after="120"/>
      </w:pPr>
      <w:r>
        <w:rPr>
          <w:rFonts w:ascii="Playfair Display" w:hAnsi="Playfair Display" w:eastAsia="Playfair Display"/>
          <w:b/>
          <w:i w:val="0"/>
          <w:color w:val="2D4D42"/>
          <w:sz w:val="30"/>
        </w:rPr>
        <w:t>II. Methodology</w:t>
      </w:r>
    </w:p>
    <w:p>
      <w:pPr>
        <w:pStyle w:val="Heading2"/>
        <w:spacing w:before="200" w:after="120"/>
      </w:pPr>
      <w:r>
        <w:rPr>
          <w:rFonts w:ascii="Montserrat" w:hAnsi="Montserrat" w:eastAsia="Montserrat"/>
          <w:b/>
          <w:i w:val="0"/>
          <w:color w:val="2D4D42"/>
          <w:sz w:val="23"/>
        </w:rPr>
        <w:t>a. Witnesses Interviewed</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rFonts w:ascii="Montserrat" w:hAnsi="Montserrat" w:eastAsia="Montserrat"/>
                <w:b/>
                <w:i w:val="0"/>
                <w:color w:val="2D4D42"/>
                <w:sz w:val="20"/>
              </w:rPr>
              <w:t>Witness</w:t>
            </w:r>
          </w:p>
        </w:tc>
        <w:tc>
          <w:tcPr>
            <w:tcW w:type="dxa" w:w="3120"/>
          </w:tcPr>
          <w:p>
            <w:r/>
            <w:r>
              <w:rPr>
                <w:rFonts w:ascii="Montserrat" w:hAnsi="Montserrat" w:eastAsia="Montserrat"/>
                <w:b/>
                <w:i w:val="0"/>
                <w:color w:val="2D4D42"/>
                <w:sz w:val="20"/>
              </w:rPr>
              <w:t>Title</w:t>
            </w:r>
          </w:p>
        </w:tc>
        <w:tc>
          <w:tcPr>
            <w:tcW w:type="dxa" w:w="3120"/>
          </w:tcPr>
          <w:p>
            <w:r/>
            <w:r>
              <w:rPr>
                <w:rFonts w:ascii="Montserrat" w:hAnsi="Montserrat" w:eastAsia="Montserrat"/>
                <w:b/>
                <w:i w:val="0"/>
                <w:color w:val="2D4D42"/>
                <w:sz w:val="20"/>
              </w:rPr>
              <w:t>Date of Interview</w:t>
            </w:r>
          </w:p>
        </w:tc>
      </w:tr>
      <w:tr>
        <w:tc>
          <w:tcPr>
            <w:tcW w:type="dxa" w:w="3120"/>
          </w:tcPr>
          <w:p>
            <w:r/>
            <w:r>
              <w:rPr>
                <w:rFonts w:ascii="Montserrat" w:hAnsi="Montserrat" w:eastAsia="Montserrat"/>
                <w:b w:val="0"/>
                <w:i w:val="0"/>
                <w:sz w:val="20"/>
              </w:rPr>
              <w:t>Alex Sample (Complainant)</w:t>
            </w:r>
          </w:p>
        </w:tc>
        <w:tc>
          <w:tcPr>
            <w:tcW w:type="dxa" w:w="3120"/>
          </w:tcPr>
          <w:p>
            <w:r/>
            <w:r>
              <w:rPr>
                <w:rFonts w:ascii="Montserrat" w:hAnsi="Montserrat" w:eastAsia="Montserrat"/>
                <w:b w:val="0"/>
                <w:i w:val="0"/>
                <w:sz w:val="20"/>
              </w:rPr>
              <w:t>Senior Budget Analyst, Budget Division</w:t>
            </w:r>
          </w:p>
        </w:tc>
        <w:tc>
          <w:tcPr>
            <w:tcW w:type="dxa" w:w="3120"/>
          </w:tcPr>
          <w:p>
            <w:r/>
            <w:r>
              <w:rPr>
                <w:rFonts w:ascii="Montserrat" w:hAnsi="Montserrat" w:eastAsia="Montserrat"/>
                <w:b w:val="0"/>
                <w:i w:val="0"/>
                <w:sz w:val="20"/>
              </w:rPr>
              <w:t>September 8, 2026</w:t>
            </w:r>
          </w:p>
        </w:tc>
      </w:tr>
      <w:tr>
        <w:tc>
          <w:tcPr>
            <w:tcW w:type="dxa" w:w="3120"/>
          </w:tcPr>
          <w:p>
            <w:r/>
            <w:r>
              <w:rPr>
                <w:rFonts w:ascii="Montserrat" w:hAnsi="Montserrat" w:eastAsia="Montserrat"/>
                <w:b w:val="0"/>
                <w:i w:val="0"/>
                <w:sz w:val="20"/>
              </w:rPr>
              <w:t>Bailey Example (Respondent)</w:t>
            </w:r>
          </w:p>
        </w:tc>
        <w:tc>
          <w:tcPr>
            <w:tcW w:type="dxa" w:w="3120"/>
          </w:tcPr>
          <w:p>
            <w:r/>
            <w:r>
              <w:rPr>
                <w:rFonts w:ascii="Montserrat" w:hAnsi="Montserrat" w:eastAsia="Montserrat"/>
                <w:b w:val="0"/>
                <w:i w:val="0"/>
                <w:sz w:val="20"/>
              </w:rPr>
              <w:t>Budget Manager, Budget Division</w:t>
            </w:r>
          </w:p>
        </w:tc>
        <w:tc>
          <w:tcPr>
            <w:tcW w:type="dxa" w:w="3120"/>
          </w:tcPr>
          <w:p>
            <w:r/>
            <w:r>
              <w:rPr>
                <w:rFonts w:ascii="Montserrat" w:hAnsi="Montserrat" w:eastAsia="Montserrat"/>
                <w:b w:val="0"/>
                <w:i w:val="0"/>
                <w:sz w:val="20"/>
              </w:rPr>
              <w:t>[date]</w:t>
            </w:r>
          </w:p>
        </w:tc>
      </w:tr>
      <w:tr>
        <w:tc>
          <w:tcPr>
            <w:tcW w:type="dxa" w:w="3120"/>
          </w:tcPr>
          <w:p>
            <w:r/>
            <w:r>
              <w:rPr>
                <w:rFonts w:ascii="Montserrat" w:hAnsi="Montserrat" w:eastAsia="Montserrat"/>
                <w:b w:val="0"/>
                <w:i w:val="0"/>
                <w:sz w:val="20"/>
              </w:rPr>
              <w:t>Cameron Demo</w:t>
            </w:r>
          </w:p>
        </w:tc>
        <w:tc>
          <w:tcPr>
            <w:tcW w:type="dxa" w:w="3120"/>
          </w:tcPr>
          <w:p>
            <w:r/>
            <w:r>
              <w:rPr>
                <w:rFonts w:ascii="Montserrat" w:hAnsi="Montserrat" w:eastAsia="Montserrat"/>
                <w:b w:val="0"/>
                <w:i w:val="0"/>
                <w:sz w:val="20"/>
              </w:rPr>
              <w:t>Budget Analyst, Budget Division</w:t>
            </w:r>
          </w:p>
        </w:tc>
        <w:tc>
          <w:tcPr>
            <w:tcW w:type="dxa" w:w="3120"/>
          </w:tcPr>
          <w:p>
            <w:r/>
            <w:r>
              <w:rPr>
                <w:rFonts w:ascii="Montserrat" w:hAnsi="Montserrat" w:eastAsia="Montserrat"/>
                <w:b w:val="0"/>
                <w:i w:val="0"/>
                <w:sz w:val="20"/>
              </w:rPr>
              <w:t>September 11, 2026</w:t>
            </w:r>
          </w:p>
        </w:tc>
      </w:tr>
      <w:tr>
        <w:tc>
          <w:tcPr>
            <w:tcW w:type="dxa" w:w="3120"/>
          </w:tcPr>
          <w:p>
            <w:r/>
            <w:r>
              <w:rPr>
                <w:rFonts w:ascii="Montserrat" w:hAnsi="Montserrat" w:eastAsia="Montserrat"/>
                <w:b w:val="0"/>
                <w:i w:val="0"/>
                <w:sz w:val="20"/>
              </w:rPr>
              <w:t>Devon Placeholder</w:t>
            </w:r>
          </w:p>
        </w:tc>
        <w:tc>
          <w:tcPr>
            <w:tcW w:type="dxa" w:w="3120"/>
          </w:tcPr>
          <w:p>
            <w:r/>
            <w:r>
              <w:rPr>
                <w:rFonts w:ascii="Montserrat" w:hAnsi="Montserrat" w:eastAsia="Montserrat"/>
                <w:b w:val="0"/>
                <w:i w:val="0"/>
                <w:sz w:val="20"/>
              </w:rPr>
              <w:t>Forecasting Lead, Budget Division</w:t>
            </w:r>
          </w:p>
        </w:tc>
        <w:tc>
          <w:tcPr>
            <w:tcW w:type="dxa" w:w="3120"/>
          </w:tcPr>
          <w:p>
            <w:r/>
            <w:r>
              <w:rPr>
                <w:rFonts w:ascii="Montserrat" w:hAnsi="Montserrat" w:eastAsia="Montserrat"/>
                <w:b w:val="0"/>
                <w:i w:val="0"/>
                <w:sz w:val="20"/>
              </w:rPr>
              <w:t>September 16, 2026</w:t>
            </w:r>
          </w:p>
        </w:tc>
      </w:tr>
    </w:tbl>
    <w:p/>
    <w:p>
      <w:pPr>
        <w:spacing w:after="160"/>
      </w:pPr>
      <w:r>
        <w:rPr>
          <w:rFonts w:ascii="Montserrat" w:hAnsi="Montserrat" w:eastAsia="Montserrat"/>
          <w:b w:val="0"/>
          <w:i w:val="0"/>
          <w:sz w:val="22"/>
        </w:rPr>
        <w:t>Witnesses were identified by Morgan Example and through my own assessment of the individuals likely to have direct knowledge of the events at issue. Morgan Example served as my point of contact at ESOO throughout the investigation. The full witness statements are set out in Appendix B (Witness Statements).</w:t>
      </w:r>
    </w:p>
    <w:p>
      <w:pPr>
        <w:spacing w:after="160"/>
      </w:pPr>
      <w:r>
        <w:rPr>
          <w:rFonts w:ascii="Montserrat" w:hAnsi="Montserrat" w:eastAsia="Montserrat"/>
          <w:b w:val="0"/>
          <w:i w:val="0"/>
          <w:sz w:val="22"/>
        </w:rPr>
        <w:t>At the start of each interview, I introduced myself as a third-party investigator retained by ESOO, identified my point of contact, and confirmed the witness's consent to the recording and transcription of the conversation. I instructed each witness to be honest and truthful in their responses, explained that the organization and law forbid retaliation and that any concerns of retaliatory conduct should be raised with me so that I could address them, asked that each witness keep our conversation confidential to the extent possible to protect the integrity of the process, and confirmed that I would be sharing the substance of their account with the organization through this report. Witnesses were given an opportunity to ask questions before substantive questioning began. Interviews were transcribed via Otter AI in addition to my own contemporaneous notes. At the close of each interview, I instructed witnesses to contact me if any additional information came to mind and not to discuss the substance of our conversation with other witnesses or staff during the pendency of the investigation.</w:t>
      </w:r>
    </w:p>
    <w:p>
      <w:pPr>
        <w:pStyle w:val="Heading2"/>
        <w:spacing w:before="200" w:after="120"/>
      </w:pPr>
      <w:r>
        <w:rPr>
          <w:rFonts w:ascii="Montserrat" w:hAnsi="Montserrat" w:eastAsia="Montserrat"/>
          <w:b/>
          <w:i w:val="0"/>
          <w:color w:val="2D4D42"/>
          <w:sz w:val="23"/>
        </w:rPr>
        <w:t>b. Evidence Reviewed</w:t>
      </w:r>
    </w:p>
    <w:p>
      <w:pPr>
        <w:spacing w:after="160"/>
      </w:pPr>
      <w:r>
        <w:rPr>
          <w:rFonts w:ascii="Montserrat" w:hAnsi="Montserrat" w:eastAsia="Montserrat"/>
          <w:b w:val="0"/>
          <w:i w:val="0"/>
          <w:sz w:val="22"/>
        </w:rPr>
        <w:t>Evidence reviewed is attached to this report as Appendix A.</w:t>
      </w:r>
    </w:p>
    <w:p>
      <w:pPr>
        <w:pStyle w:val="Heading2"/>
        <w:spacing w:before="200" w:after="120"/>
      </w:pPr>
      <w:r>
        <w:rPr>
          <w:rFonts w:ascii="Montserrat" w:hAnsi="Montserrat" w:eastAsia="Montserrat"/>
          <w:b/>
          <w:i w:val="0"/>
          <w:color w:val="2D4D42"/>
          <w:sz w:val="23"/>
        </w:rPr>
        <w:t>c. Independence</w:t>
      </w:r>
    </w:p>
    <w:p>
      <w:pPr>
        <w:spacing w:after="160"/>
      </w:pPr>
      <w:r>
        <w:rPr>
          <w:rFonts w:ascii="Montserrat" w:hAnsi="Montserrat" w:eastAsia="Montserrat"/>
          <w:b w:val="0"/>
          <w:i w:val="0"/>
          <w:sz w:val="22"/>
        </w:rPr>
        <w:t>I retained full and independent discretion over the investigative process, the analysis, and the conclusions reached in this report. ESOO did not direct, influence, or otherwise control the outcome of the investigation, the scope of inquiry, or the findings.</w:t>
      </w:r>
    </w:p>
    <w:p>
      <w:pPr>
        <w:pStyle w:val="Heading2"/>
        <w:spacing w:before="200" w:after="120"/>
      </w:pPr>
      <w:r>
        <w:rPr>
          <w:rFonts w:ascii="Montserrat" w:hAnsi="Montserrat" w:eastAsia="Montserrat"/>
          <w:b/>
          <w:i w:val="0"/>
          <w:color w:val="2D4D42"/>
          <w:sz w:val="23"/>
        </w:rPr>
        <w:t>d. Investigative Standard</w:t>
      </w:r>
    </w:p>
    <w:p>
      <w:pPr>
        <w:spacing w:after="160"/>
      </w:pPr>
      <w:r>
        <w:rPr>
          <w:rFonts w:ascii="Montserrat" w:hAnsi="Montserrat" w:eastAsia="Montserrat"/>
          <w:b w:val="0"/>
          <w:i w:val="0"/>
          <w:sz w:val="22"/>
        </w:rPr>
        <w:t>The findings in this report are reached under the preponderance of the evidence standard, meaning that for an allegation to be substantiated, I must find that it is more likely than not that the alleged conduct occurred. The findings in this report are factual findings, not legal conclusions, and they should not be construed as a legal determination of liability or as a judgment that the conduct meets the threshold for any particular cause of action.</w:t>
      </w:r>
    </w:p>
    <w:p>
      <w:pPr>
        <w:pStyle w:val="Heading2"/>
        <w:spacing w:before="200" w:after="120"/>
      </w:pPr>
      <w:r>
        <w:rPr>
          <w:rFonts w:ascii="Montserrat" w:hAnsi="Montserrat" w:eastAsia="Montserrat"/>
          <w:b/>
          <w:i w:val="0"/>
          <w:color w:val="2D4D42"/>
          <w:sz w:val="23"/>
        </w:rPr>
        <w:t>e. Credibility Determinations</w:t>
      </w:r>
    </w:p>
    <w:p>
      <w:pPr>
        <w:spacing w:after="160"/>
      </w:pPr>
      <w:r>
        <w:rPr>
          <w:rFonts w:ascii="Montserrat" w:hAnsi="Montserrat" w:eastAsia="Montserrat"/>
          <w:b w:val="0"/>
          <w:i w:val="0"/>
          <w:sz w:val="22"/>
        </w:rPr>
        <w:t>When necessary to resolve factual disputes, I assessed witness credibility based on factors including corroboration with other evidence, internal consistency, inherent plausibility, opportunity and capacity to observe the events described, potential motive or bias, prior inconsistent statements, admissions against interest, and overall responsiveness during the interview process.</w:t>
      </w:r>
    </w:p>
    <w:p>
      <w:pPr>
        <w:pStyle w:val="Heading2"/>
        <w:spacing w:before="200" w:after="120"/>
      </w:pPr>
      <w:r>
        <w:rPr>
          <w:rFonts w:ascii="Montserrat" w:hAnsi="Montserrat" w:eastAsia="Montserrat"/>
          <w:b/>
          <w:i w:val="0"/>
          <w:color w:val="2D4D42"/>
          <w:sz w:val="23"/>
        </w:rPr>
        <w:t>f. Investigator's Notes on Process</w:t>
      </w:r>
    </w:p>
    <w:p>
      <w:pPr>
        <w:spacing w:after="160"/>
      </w:pPr>
      <w:r>
        <w:rPr>
          <w:rFonts w:ascii="Montserrat" w:hAnsi="Montserrat" w:eastAsia="Montserrat"/>
          <w:b w:val="0"/>
          <w:i w:val="0"/>
          <w:sz w:val="22"/>
        </w:rPr>
        <w:t>[Procedural matters that merit acknowledgment: notice to the respondent, review of statements by participants, materials provided through counsel, matters raised that fall outside the scope, ownership of investigation materials.]</w:t>
      </w:r>
    </w:p>
    <w:p>
      <w:pPr>
        <w:pStyle w:val="Heading1"/>
        <w:spacing w:before="320" w:after="120"/>
      </w:pPr>
      <w:r>
        <w:rPr>
          <w:rFonts w:ascii="Playfair Display" w:hAnsi="Playfair Display" w:eastAsia="Playfair Display"/>
          <w:b/>
          <w:i w:val="0"/>
          <w:color w:val="2D4D42"/>
          <w:sz w:val="30"/>
        </w:rPr>
        <w:t>III. Executive Summary</w:t>
      </w:r>
    </w:p>
    <w:p>
      <w:pPr>
        <w:spacing w:after="160"/>
      </w:pPr>
      <w:r>
        <w:rPr>
          <w:rFonts w:ascii="Montserrat" w:hAnsi="Montserrat" w:eastAsia="Montserrat"/>
          <w:b w:val="0"/>
          <w:i w:val="0"/>
          <w:sz w:val="22"/>
        </w:rPr>
        <w:t>This investigation arose from concerns raised by Alex Sample, Senior Budget Analyst, Budget Division regarding the conduct of Bailey Example, Budget Manager, Budget Division. [One or two sentences on the categories of concern.] Each allegation has been evaluated under the preponderance of the evidence standard. My findings are summarized below and developed in full at Section V.</w:t>
      </w:r>
    </w:p>
    <w:p>
      <w:pPr>
        <w:spacing w:after="40"/>
      </w:pPr>
      <w:r>
        <w:rPr>
          <w:rFonts w:ascii="Montserrat" w:hAnsi="Montserrat" w:eastAsia="Montserrat"/>
          <w:b/>
          <w:i w:val="0"/>
          <w:sz w:val="22"/>
        </w:rPr>
        <w:t>a. Allegation 1. Removal from the forecasting project in July was retaliation for the June overtime complaint.</w:t>
      </w:r>
    </w:p>
    <w:p>
      <w:pPr>
        <w:spacing w:after="160"/>
      </w:pPr>
      <w:r>
        <w:rPr>
          <w:rFonts w:ascii="Montserrat" w:hAnsi="Montserrat" w:eastAsia="Montserrat"/>
          <w:b w:val="0"/>
          <w:i w:val="0"/>
          <w:sz w:val="22"/>
        </w:rPr>
        <w:t>Based on the preponderance of the evidence, this allegation is [substantiated / substantiated in part / not substantiated].</w:t>
      </w:r>
    </w:p>
    <w:p>
      <w:pPr>
        <w:spacing w:after="40"/>
      </w:pPr>
      <w:r>
        <w:rPr>
          <w:rFonts w:ascii="Montserrat" w:hAnsi="Montserrat" w:eastAsia="Montserrat"/>
          <w:b/>
          <w:i w:val="0"/>
          <w:sz w:val="22"/>
        </w:rPr>
        <w:t>b. Allegation 2. The schedule change in August was retaliation for the same complaint.</w:t>
      </w:r>
    </w:p>
    <w:p>
      <w:pPr>
        <w:spacing w:after="160"/>
      </w:pPr>
      <w:r>
        <w:rPr>
          <w:rFonts w:ascii="Montserrat" w:hAnsi="Montserrat" w:eastAsia="Montserrat"/>
          <w:b w:val="0"/>
          <w:i w:val="0"/>
          <w:sz w:val="22"/>
        </w:rPr>
        <w:t>Based on the preponderance of the evidence, this allegation is [substantiated / substantiated in part / not substantiated].</w:t>
      </w:r>
    </w:p>
    <w:p>
      <w:pPr>
        <w:spacing w:after="40"/>
      </w:pPr>
      <w:r>
        <w:rPr>
          <w:rFonts w:ascii="Montserrat" w:hAnsi="Montserrat" w:eastAsia="Montserrat"/>
          <w:b/>
          <w:i w:val="0"/>
          <w:sz w:val="22"/>
        </w:rPr>
        <w:t>c. Allegation 3. The mid-year review rating was lowered in retaliation for the complaint.</w:t>
      </w:r>
    </w:p>
    <w:p>
      <w:pPr>
        <w:spacing w:after="160"/>
      </w:pPr>
      <w:r>
        <w:rPr>
          <w:rFonts w:ascii="Montserrat" w:hAnsi="Montserrat" w:eastAsia="Montserrat"/>
          <w:b w:val="0"/>
          <w:i w:val="0"/>
          <w:sz w:val="22"/>
        </w:rPr>
        <w:t>Based on the preponderance of the evidence, this allegation is [substantiated / substantiated in part / not substantiated].</w:t>
      </w:r>
    </w:p>
    <w:p>
      <w:pPr>
        <w:spacing w:after="160"/>
      </w:pPr>
      <w:r>
        <w:rPr>
          <w:rFonts w:ascii="Montserrat" w:hAnsi="Montserrat" w:eastAsia="Montserrat"/>
          <w:b w:val="0"/>
          <w:i w:val="0"/>
          <w:sz w:val="22"/>
        </w:rPr>
        <w:t>Further analysis is provided in Section V — Allegations and Findings.</w:t>
      </w:r>
    </w:p>
    <w:p>
      <w:pPr>
        <w:pStyle w:val="Heading1"/>
        <w:spacing w:before="320" w:after="120"/>
      </w:pPr>
      <w:r>
        <w:rPr>
          <w:rFonts w:ascii="Playfair Display" w:hAnsi="Playfair Display" w:eastAsia="Playfair Display"/>
          <w:b/>
          <w:i w:val="0"/>
          <w:color w:val="2D4D42"/>
          <w:sz w:val="30"/>
        </w:rPr>
        <w:t>IV. Applicable Policies</w:t>
      </w:r>
    </w:p>
    <w:p>
      <w:pPr>
        <w:spacing w:after="160"/>
      </w:pPr>
      <w:r>
        <w:rPr>
          <w:rFonts w:ascii="Montserrat" w:hAnsi="Montserrat" w:eastAsia="Montserrat"/>
          <w:b w:val="0"/>
          <w:i w:val="0"/>
          <w:sz w:val="22"/>
        </w:rPr>
        <w:t>The provisions of ESOO's policies that are relevant to the allegations in this report are summarized below. The full text of each policy is available through the client and is incorporated by reference.</w:t>
      </w:r>
    </w:p>
    <w:p>
      <w:pPr>
        <w:spacing w:after="40"/>
      </w:pPr>
      <w:r>
        <w:rPr>
          <w:rFonts w:ascii="Montserrat" w:hAnsi="Montserrat" w:eastAsia="Montserrat"/>
          <w:b/>
          <w:i w:val="0"/>
          <w:sz w:val="22"/>
        </w:rPr>
        <w:t>[Policy name]</w:t>
      </w:r>
    </w:p>
    <w:p>
      <w:pPr>
        <w:spacing w:after="160"/>
      </w:pPr>
      <w:r>
        <w:rPr>
          <w:rFonts w:ascii="Montserrat" w:hAnsi="Montserrat" w:eastAsia="Montserrat"/>
          <w:b w:val="0"/>
          <w:i w:val="0"/>
          <w:sz w:val="22"/>
        </w:rPr>
        <w:t>[Summary of the relevant provisions and the allegations they apply to.]</w:t>
      </w:r>
    </w:p>
    <w:p>
      <w:pPr>
        <w:pStyle w:val="Heading1"/>
        <w:spacing w:before="320" w:after="120"/>
      </w:pPr>
      <w:r>
        <w:rPr>
          <w:rFonts w:ascii="Playfair Display" w:hAnsi="Playfair Display" w:eastAsia="Playfair Display"/>
          <w:b/>
          <w:i w:val="0"/>
          <w:color w:val="2D4D42"/>
          <w:sz w:val="30"/>
        </w:rPr>
        <w:t>V. Allegations and Findings</w:t>
      </w:r>
    </w:p>
    <w:p>
      <w:pPr>
        <w:spacing w:after="160"/>
      </w:pPr>
      <w:r>
        <w:rPr>
          <w:rFonts w:ascii="Montserrat" w:hAnsi="Montserrat" w:eastAsia="Montserrat"/>
          <w:b w:val="0"/>
          <w:i w:val="0"/>
          <w:sz w:val="22"/>
        </w:rPr>
        <w:t>Each allegation is presented below with a summary of the evidence drawn from the witness interviews and the documentary record, followed by my finding and a policy determination identifying the provisions of policy implicated by the substantiated conduct. Witness accounts summarized in third person reflect the substance of what each witness reported during interview. Where witness accounts materially diverge, I have addressed those divergences in the finding and indicated how the credibility factors set out in Section II.e were applied.</w:t>
      </w:r>
    </w:p>
    <w:p>
      <w:pPr>
        <w:spacing w:after="80"/>
      </w:pPr>
      <w:r>
        <w:rPr>
          <w:rFonts w:ascii="Montserrat" w:hAnsi="Montserrat" w:eastAsia="Montserrat"/>
          <w:b/>
          <w:i w:val="0"/>
          <w:color w:val="2D4D42"/>
          <w:sz w:val="23"/>
        </w:rPr>
        <w:t>Allegation 1: Removal from the forecasting project in July was retaliation for the June overtime complaint.</w:t>
      </w:r>
    </w:p>
    <w:p>
      <w:pPr>
        <w:spacing w:after="40"/>
      </w:pPr>
      <w:r>
        <w:rPr>
          <w:rFonts w:ascii="Montserrat" w:hAnsi="Montserrat" w:eastAsia="Montserrat"/>
          <w:b/>
          <w:i w:val="0"/>
          <w:sz w:val="22"/>
        </w:rPr>
        <w:t>Finding:</w:t>
      </w:r>
    </w:p>
    <w:p>
      <w:pPr>
        <w:spacing w:after="160"/>
      </w:pPr>
      <w:r>
        <w:rPr>
          <w:rFonts w:ascii="Montserrat" w:hAnsi="Montserrat" w:eastAsia="Montserrat"/>
          <w:b w:val="0"/>
          <w:i w:val="0"/>
          <w:sz w:val="22"/>
        </w:rPr>
        <w:t>Based on the preponderance of the evidence, this allegation is [substantiated / substantiated in part / not substantiated].</w:t>
      </w:r>
    </w:p>
    <w:p>
      <w:pPr>
        <w:spacing w:after="160"/>
      </w:pPr>
      <w:r>
        <w:rPr>
          <w:rFonts w:ascii="Montserrat" w:hAnsi="Montserrat" w:eastAsia="Montserrat"/>
          <w:b w:val="0"/>
          <w:i w:val="0"/>
          <w:sz w:val="22"/>
        </w:rPr>
        <w:t>[Complainant's account.]</w:t>
      </w:r>
    </w:p>
    <w:p>
      <w:pPr>
        <w:spacing w:after="160"/>
      </w:pPr>
      <w:r>
        <w:rPr>
          <w:rFonts w:ascii="Montserrat" w:hAnsi="Montserrat" w:eastAsia="Montserrat"/>
          <w:b w:val="0"/>
          <w:i w:val="0"/>
          <w:sz w:val="22"/>
        </w:rPr>
        <w:t>[Corroborating and diverging witness accounts.]</w:t>
      </w:r>
    </w:p>
    <w:p>
      <w:pPr>
        <w:spacing w:after="160"/>
      </w:pPr>
      <w:r>
        <w:rPr>
          <w:rFonts w:ascii="Montserrat" w:hAnsi="Montserrat" w:eastAsia="Montserrat"/>
          <w:b w:val="0"/>
          <w:i w:val="0"/>
          <w:sz w:val="22"/>
        </w:rPr>
        <w:t>[Respondent's account.]</w:t>
      </w:r>
    </w:p>
    <w:p>
      <w:pPr>
        <w:spacing w:after="160"/>
      </w:pPr>
      <w:r>
        <w:rPr>
          <w:rFonts w:ascii="Montserrat" w:hAnsi="Montserrat" w:eastAsia="Montserrat"/>
          <w:b w:val="0"/>
          <w:i w:val="0"/>
          <w:sz w:val="22"/>
        </w:rPr>
        <w:t>[Credibility analysis and reasoning.]</w:t>
      </w:r>
    </w:p>
    <w:p>
      <w:pPr>
        <w:spacing w:after="160"/>
      </w:pPr>
      <w:r>
        <w:rPr>
          <w:rFonts w:ascii="Montserrat" w:hAnsi="Montserrat" w:eastAsia="Montserrat"/>
          <w:b w:val="0"/>
          <w:i w:val="0"/>
          <w:sz w:val="22"/>
        </w:rPr>
        <w:t>Policy determination: [policies implicated by the substantiated conduct].</w:t>
      </w:r>
    </w:p>
    <w:p>
      <w:pPr>
        <w:spacing w:after="80"/>
      </w:pPr>
      <w:r>
        <w:rPr>
          <w:rFonts w:ascii="Montserrat" w:hAnsi="Montserrat" w:eastAsia="Montserrat"/>
          <w:b/>
          <w:i w:val="0"/>
          <w:color w:val="2D4D42"/>
          <w:sz w:val="23"/>
        </w:rPr>
        <w:t>Allegation 2: The schedule change in August was retaliation for the same complaint.</w:t>
      </w:r>
    </w:p>
    <w:p>
      <w:pPr>
        <w:spacing w:after="40"/>
      </w:pPr>
      <w:r>
        <w:rPr>
          <w:rFonts w:ascii="Montserrat" w:hAnsi="Montserrat" w:eastAsia="Montserrat"/>
          <w:b/>
          <w:i w:val="0"/>
          <w:sz w:val="22"/>
        </w:rPr>
        <w:t>Finding:</w:t>
      </w:r>
    </w:p>
    <w:p>
      <w:pPr>
        <w:spacing w:after="160"/>
      </w:pPr>
      <w:r>
        <w:rPr>
          <w:rFonts w:ascii="Montserrat" w:hAnsi="Montserrat" w:eastAsia="Montserrat"/>
          <w:b w:val="0"/>
          <w:i w:val="0"/>
          <w:sz w:val="22"/>
        </w:rPr>
        <w:t>Based on the preponderance of the evidence, this allegation is [substantiated / substantiated in part / not substantiated].</w:t>
      </w:r>
    </w:p>
    <w:p>
      <w:pPr>
        <w:spacing w:after="160"/>
      </w:pPr>
      <w:r>
        <w:rPr>
          <w:rFonts w:ascii="Montserrat" w:hAnsi="Montserrat" w:eastAsia="Montserrat"/>
          <w:b w:val="0"/>
          <w:i w:val="0"/>
          <w:sz w:val="22"/>
        </w:rPr>
        <w:t>[Complainant's account.]</w:t>
      </w:r>
    </w:p>
    <w:p>
      <w:pPr>
        <w:spacing w:after="160"/>
      </w:pPr>
      <w:r>
        <w:rPr>
          <w:rFonts w:ascii="Montserrat" w:hAnsi="Montserrat" w:eastAsia="Montserrat"/>
          <w:b w:val="0"/>
          <w:i w:val="0"/>
          <w:sz w:val="22"/>
        </w:rPr>
        <w:t>[Corroborating and diverging witness accounts.]</w:t>
      </w:r>
    </w:p>
    <w:p>
      <w:pPr>
        <w:spacing w:after="160"/>
      </w:pPr>
      <w:r>
        <w:rPr>
          <w:rFonts w:ascii="Montserrat" w:hAnsi="Montserrat" w:eastAsia="Montserrat"/>
          <w:b w:val="0"/>
          <w:i w:val="0"/>
          <w:sz w:val="22"/>
        </w:rPr>
        <w:t>[Respondent's account.]</w:t>
      </w:r>
    </w:p>
    <w:p>
      <w:pPr>
        <w:spacing w:after="160"/>
      </w:pPr>
      <w:r>
        <w:rPr>
          <w:rFonts w:ascii="Montserrat" w:hAnsi="Montserrat" w:eastAsia="Montserrat"/>
          <w:b w:val="0"/>
          <w:i w:val="0"/>
          <w:sz w:val="22"/>
        </w:rPr>
        <w:t>[Credibility analysis and reasoning.]</w:t>
      </w:r>
    </w:p>
    <w:p>
      <w:pPr>
        <w:spacing w:after="160"/>
      </w:pPr>
      <w:r>
        <w:rPr>
          <w:rFonts w:ascii="Montserrat" w:hAnsi="Montserrat" w:eastAsia="Montserrat"/>
          <w:b w:val="0"/>
          <w:i w:val="0"/>
          <w:sz w:val="22"/>
        </w:rPr>
        <w:t>Policy determination: [policies implicated by the substantiated conduct].</w:t>
      </w:r>
    </w:p>
    <w:p>
      <w:pPr>
        <w:spacing w:after="80"/>
      </w:pPr>
      <w:r>
        <w:rPr>
          <w:rFonts w:ascii="Montserrat" w:hAnsi="Montserrat" w:eastAsia="Montserrat"/>
          <w:b/>
          <w:i w:val="0"/>
          <w:color w:val="2D4D42"/>
          <w:sz w:val="23"/>
        </w:rPr>
        <w:t>Allegation 3: The mid-year review rating was lowered in retaliation for the complaint.</w:t>
      </w:r>
    </w:p>
    <w:p>
      <w:pPr>
        <w:spacing w:after="40"/>
      </w:pPr>
      <w:r>
        <w:rPr>
          <w:rFonts w:ascii="Montserrat" w:hAnsi="Montserrat" w:eastAsia="Montserrat"/>
          <w:b/>
          <w:i w:val="0"/>
          <w:sz w:val="22"/>
        </w:rPr>
        <w:t>Finding:</w:t>
      </w:r>
    </w:p>
    <w:p>
      <w:pPr>
        <w:spacing w:after="160"/>
      </w:pPr>
      <w:r>
        <w:rPr>
          <w:rFonts w:ascii="Montserrat" w:hAnsi="Montserrat" w:eastAsia="Montserrat"/>
          <w:b w:val="0"/>
          <w:i w:val="0"/>
          <w:sz w:val="22"/>
        </w:rPr>
        <w:t>Based on the preponderance of the evidence, this allegation is [substantiated / substantiated in part / not substantiated].</w:t>
      </w:r>
    </w:p>
    <w:p>
      <w:pPr>
        <w:spacing w:after="160"/>
      </w:pPr>
      <w:r>
        <w:rPr>
          <w:rFonts w:ascii="Montserrat" w:hAnsi="Montserrat" w:eastAsia="Montserrat"/>
          <w:b w:val="0"/>
          <w:i w:val="0"/>
          <w:sz w:val="22"/>
        </w:rPr>
        <w:t>[Complainant's account.]</w:t>
      </w:r>
    </w:p>
    <w:p>
      <w:pPr>
        <w:spacing w:after="160"/>
      </w:pPr>
      <w:r>
        <w:rPr>
          <w:rFonts w:ascii="Montserrat" w:hAnsi="Montserrat" w:eastAsia="Montserrat"/>
          <w:b w:val="0"/>
          <w:i w:val="0"/>
          <w:sz w:val="22"/>
        </w:rPr>
        <w:t>[Corroborating and diverging witness accounts.]</w:t>
      </w:r>
    </w:p>
    <w:p>
      <w:pPr>
        <w:spacing w:after="160"/>
      </w:pPr>
      <w:r>
        <w:rPr>
          <w:rFonts w:ascii="Montserrat" w:hAnsi="Montserrat" w:eastAsia="Montserrat"/>
          <w:b w:val="0"/>
          <w:i w:val="0"/>
          <w:sz w:val="22"/>
        </w:rPr>
        <w:t>[Respondent's account.]</w:t>
      </w:r>
    </w:p>
    <w:p>
      <w:pPr>
        <w:spacing w:after="160"/>
      </w:pPr>
      <w:r>
        <w:rPr>
          <w:rFonts w:ascii="Montserrat" w:hAnsi="Montserrat" w:eastAsia="Montserrat"/>
          <w:b w:val="0"/>
          <w:i w:val="0"/>
          <w:sz w:val="22"/>
        </w:rPr>
        <w:t>[Credibility analysis and reasoning.]</w:t>
      </w:r>
    </w:p>
    <w:p>
      <w:pPr>
        <w:spacing w:after="160"/>
      </w:pPr>
      <w:r>
        <w:rPr>
          <w:rFonts w:ascii="Montserrat" w:hAnsi="Montserrat" w:eastAsia="Montserrat"/>
          <w:b w:val="0"/>
          <w:i w:val="0"/>
          <w:sz w:val="22"/>
        </w:rPr>
        <w:t>Policy determination: [policies implicated by the substantiated conduct].</w:t>
      </w:r>
    </w:p>
    <w:p>
      <w:pPr>
        <w:pStyle w:val="Heading1"/>
        <w:spacing w:before="320" w:after="120"/>
      </w:pPr>
      <w:r>
        <w:rPr>
          <w:rFonts w:ascii="Playfair Display" w:hAnsi="Playfair Display" w:eastAsia="Playfair Display"/>
          <w:b/>
          <w:i w:val="0"/>
          <w:color w:val="2D4D42"/>
          <w:sz w:val="30"/>
        </w:rPr>
        <w:t>VI. Conclusion</w:t>
      </w:r>
    </w:p>
    <w:p>
      <w:pPr>
        <w:spacing w:after="160"/>
      </w:pPr>
      <w:r>
        <w:rPr>
          <w:rFonts w:ascii="Montserrat" w:hAnsi="Montserrat" w:eastAsia="Montserrat"/>
          <w:b w:val="0"/>
          <w:i w:val="0"/>
          <w:sz w:val="22"/>
        </w:rPr>
        <w:t>This investigation arose from concerns raised by Alex Sample, Senior Budget Analyst, Budget Division regarding the conduct of Bailey Example, Budget Manager, Budget Division. [Pattern that emerged across the witness interviews.]</w:t>
      </w:r>
    </w:p>
    <w:p>
      <w:pPr>
        <w:spacing w:after="160"/>
      </w:pPr>
      <w:r>
        <w:rPr>
          <w:rFonts w:ascii="Montserrat" w:hAnsi="Montserrat" w:eastAsia="Montserrat"/>
          <w:b w:val="0"/>
          <w:i w:val="0"/>
          <w:sz w:val="22"/>
        </w:rPr>
        <w:t>The findings as to each allegation are set out in Section V and summarized in Section III. [Number] of the [number] allegations have been substantiated in whole or in part. [Policies implicated by the most serious findings.]</w:t>
      </w:r>
    </w:p>
    <w:p>
      <w:pPr>
        <w:spacing w:after="160"/>
      </w:pPr>
      <w:r>
        <w:rPr>
          <w:rFonts w:ascii="Montserrat" w:hAnsi="Montserrat" w:eastAsia="Montserrat"/>
          <w:b w:val="0"/>
          <w:i w:val="0"/>
          <w:sz w:val="22"/>
        </w:rPr>
        <w:t>These findings represent factual determinations regarding the conduct at issue. This report is provided to assist ESOO leadership and Human Resources in determining appropriate next steps. Decisions regarding corrective action, remediation, or discipline are outside the scope of this investigation and remain within ESOO's authority, in consideration of the full record and in consultation with legal counsel.</w:t>
      </w:r>
    </w:p>
    <w:p>
      <w:pPr>
        <w:spacing w:after="160"/>
        <w:jc w:val="center"/>
      </w:pPr>
      <w:r>
        <w:rPr>
          <w:rFonts w:ascii="Montserrat" w:hAnsi="Montserrat" w:eastAsia="Montserrat"/>
          <w:b w:val="0"/>
          <w:i w:val="0"/>
          <w:sz w:val="22"/>
        </w:rPr>
        <w:t>***</w:t>
      </w:r>
    </w:p>
    <w:p>
      <w:pPr>
        <w:spacing w:after="160"/>
      </w:pPr>
      <w:r>
        <w:rPr>
          <w:rFonts w:ascii="Montserrat" w:hAnsi="Montserrat" w:eastAsia="Montserrat"/>
          <w:b w:val="0"/>
          <w:i w:val="0"/>
          <w:sz w:val="22"/>
        </w:rPr>
        <w:t>This concludes my report on this matter.</w:t>
      </w:r>
    </w:p>
    <w:sectPr w:rsidR="00FC693F" w:rsidRPr="0006063C" w:rsidSect="00034616">
      <w:headerReference w:type="default" r:id="rId9"/>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Montserrat" w:hAnsi="Montserrat" w:eastAsia="Montserrat"/>
        <w:b w:val="0"/>
        <w:i w:val="0"/>
        <w:color w:val="718878"/>
        <w:sz w:val="18"/>
      </w:rPr>
      <w:fldChar w:fldCharType="begin"/>
      <w:instrText xml:space="preserve">PAGE</w:instrText>
      <w:fldChar w:fldCharType="end"/>
    </w:r>
    <w:r>
      <w:rPr>
        <w:rFonts w:ascii="Montserrat" w:hAnsi="Montserrat" w:eastAsia="Montserrat"/>
        <w:b w:val="0"/>
        <w:i w:val="0"/>
        <w:color w:val="718878"/>
        <w:sz w:val="18"/>
      </w:rPr>
      <w:t xml:space="preserve"> | Page</w:t>
    </w:r>
  </w:p>
  <w:p>
    <w:r>
      <w:rPr>
        <w:rFonts w:ascii="Montserrat" w:hAnsi="Montserrat" w:eastAsia="Montserrat"/>
        <w:b w:val="0"/>
        <w:i w:val="0"/>
        <w:color w:val="718878"/>
        <w:sz w:val="18"/>
      </w:rPr>
      <w:t>ESOO/Retaliation complaint, Budget Division Investigation</w:t>
    </w:r>
  </w:p>
  <w:p>
    <w:r>
      <w:rPr>
        <w:rFonts w:ascii="Montserrat" w:hAnsi="Montserrat" w:eastAsia="Montserrat"/>
        <w:b w:val="0"/>
        <w:i w:val="0"/>
        <w:color w:val="718878"/>
        <w:sz w:val="18"/>
      </w:rPr>
      <w:t>FairFind Demo Practice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Montserrat" w:hAnsi="Montserrat" w:eastAsia="Montserrat"/>
      <w:color w:val="1F2A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D4D4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D4D4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