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jc w:val="center"/>
      </w:pPr>
      <w:r>
        <w:drawing>
          <wp:inline xmlns:a="http://schemas.openxmlformats.org/drawingml/2006/main" xmlns:pic="http://schemas.openxmlformats.org/drawingml/2006/picture">
            <wp:extent cx="2011680" cy="1324579"/>
            <wp:docPr id="1" name="Picture 1"/>
            <wp:cNvGraphicFramePr>
              <a:graphicFrameLocks noChangeAspect="1"/>
            </wp:cNvGraphicFramePr>
            <a:graphic>
              <a:graphicData uri="http://schemas.openxmlformats.org/drawingml/2006/picture">
                <pic:pic>
                  <pic:nvPicPr>
                    <pic:cNvPr id="0" name="TWI-logo-stacked.png"/>
                    <pic:cNvPicPr/>
                  </pic:nvPicPr>
                  <pic:blipFill>
                    <a:blip r:embed="rId10"/>
                    <a:stretch>
                      <a:fillRect/>
                    </a:stretch>
                  </pic:blipFill>
                  <pic:spPr>
                    <a:xfrm>
                      <a:off x="0" y="0"/>
                      <a:ext cx="2011680" cy="1324579"/>
                    </a:xfrm>
                    <a:prstGeom prst="rect"/>
                  </pic:spPr>
                </pic:pic>
              </a:graphicData>
            </a:graphic>
          </wp:inline>
        </w:drawing>
      </w:r>
    </w:p>
    <w:p>
      <w:pPr>
        <w:spacing w:after="0"/>
      </w:pPr>
    </w:p>
    <w:p>
      <w:pPr>
        <w:spacing w:after="0"/>
      </w:pPr>
    </w:p>
    <w:p>
      <w:pPr>
        <w:spacing w:after="0"/>
      </w:pPr>
    </w:p>
    <w:p>
      <w:pPr>
        <w:spacing w:after="80"/>
        <w:jc w:val="center"/>
      </w:pPr>
      <w:r>
        <w:rPr>
          <w:rFonts w:ascii="Playfair Display" w:hAnsi="Playfair Display" w:eastAsia="Playfair Display"/>
          <w:b/>
          <w:i w:val="0"/>
          <w:color w:val="2D4D42"/>
          <w:sz w:val="32"/>
        </w:rPr>
        <w:t>Example State Operations Office</w:t>
      </w:r>
    </w:p>
    <w:p>
      <w:pPr>
        <w:spacing w:after="80"/>
        <w:jc w:val="center"/>
      </w:pPr>
      <w:r>
        <w:rPr>
          <w:rFonts w:ascii="Playfair Display" w:hAnsi="Playfair Display" w:eastAsia="Playfair Display"/>
          <w:b w:val="0"/>
          <w:i w:val="0"/>
          <w:color w:val="2D4D42"/>
          <w:sz w:val="28"/>
        </w:rPr>
        <w:t>Retaliation complaint, Budget Division</w:t>
      </w:r>
    </w:p>
    <w:p>
      <w:pPr>
        <w:spacing w:after="80"/>
        <w:jc w:val="center"/>
      </w:pPr>
      <w:r>
        <w:rPr>
          <w:rFonts w:ascii="Montserrat" w:hAnsi="Montserrat" w:eastAsia="Montserrat"/>
          <w:b/>
          <w:i w:val="0"/>
          <w:color w:val="718878"/>
          <w:sz w:val="26"/>
        </w:rPr>
        <w:t>Appendix B - Witness Statements</w:t>
      </w:r>
    </w:p>
    <w:p>
      <w:pPr>
        <w:spacing w:after="0"/>
      </w:pPr>
    </w:p>
    <w:p>
      <w:pPr>
        <w:spacing w:after="0"/>
      </w:pPr>
    </w:p>
    <w:p>
      <w:pPr>
        <w:spacing w:after="0"/>
      </w:pPr>
    </w:p>
    <w:p>
      <w:pPr>
        <w:spacing w:after="0"/>
      </w:pPr>
    </w:p>
    <w:p>
      <w:pPr>
        <w:spacing w:after="0"/>
      </w:pPr>
    </w:p>
    <w:p>
      <w:pPr>
        <w:spacing w:after="0"/>
      </w:pPr>
    </w:p>
    <w:p>
      <w:pPr>
        <w:spacing w:after="0"/>
      </w:pPr>
    </w:p>
    <w:p>
      <w:pPr>
        <w:spacing w:after="0"/>
      </w:pPr>
    </w:p>
    <w:p>
      <w:pPr>
        <w:spacing w:after="40"/>
        <w:jc w:val="center"/>
      </w:pPr>
      <w:r>
        <w:rPr>
          <w:rFonts w:ascii="Montserrat" w:hAnsi="Montserrat" w:eastAsia="Montserrat"/>
          <w:b/>
          <w:i w:val="0"/>
          <w:sz w:val="22"/>
        </w:rPr>
        <w:t>Drafted By:</w:t>
      </w:r>
    </w:p>
    <w:p>
      <w:pPr>
        <w:spacing w:after="40"/>
        <w:jc w:val="center"/>
      </w:pPr>
      <w:r>
        <w:rPr>
          <w:rFonts w:ascii="Montserrat" w:hAnsi="Montserrat" w:eastAsia="Montserrat"/>
          <w:b w:val="0"/>
          <w:i w:val="0"/>
          <w:sz w:val="22"/>
        </w:rPr>
        <w:t>Demo Administrator</w:t>
      </w:r>
    </w:p>
    <w:p>
      <w:pPr>
        <w:spacing w:after="40"/>
        <w:jc w:val="center"/>
      </w:pPr>
      <w:r>
        <w:rPr>
          <w:rFonts w:ascii="Montserrat" w:hAnsi="Montserrat" w:eastAsia="Montserrat"/>
          <w:b w:val="0"/>
          <w:i w:val="0"/>
          <w:sz w:val="22"/>
        </w:rPr>
        <w:t>FairFind Demo Practice</w:t>
      </w:r>
    </w:p>
    <w:p>
      <w:pPr>
        <w:spacing w:after="40"/>
        <w:jc w:val="center"/>
      </w:pPr>
      <w:r>
        <w:rPr>
          <w:rFonts w:ascii="Montserrat" w:hAnsi="Montserrat" w:eastAsia="Montserrat"/>
          <w:b w:val="0"/>
          <w:i w:val="0"/>
          <w:sz w:val="22"/>
        </w:rPr>
        <w:t>demo@example.com</w:t>
      </w:r>
    </w:p>
    <w:p>
      <w:pPr>
        <w:spacing w:after="40"/>
        <w:jc w:val="center"/>
      </w:pPr>
      <w:r>
        <w:rPr>
          <w:rFonts w:ascii="Montserrat" w:hAnsi="Montserrat" w:eastAsia="Montserrat"/>
          <w:b w:val="0"/>
          <w:i w:val="0"/>
          <w:sz w:val="22"/>
        </w:rPr>
        <w:t>www.transformativeinvestigations.com</w:t>
      </w:r>
    </w:p>
    <w:p>
      <w:r>
        <w:br w:type="page"/>
      </w:r>
    </w:p>
    <w:p>
      <w:pPr>
        <w:spacing w:after="160"/>
      </w:pPr>
      <w:r>
        <w:rPr>
          <w:rFonts w:ascii="Montserrat" w:hAnsi="Montserrat" w:eastAsia="Montserrat"/>
          <w:b w:val="0"/>
          <w:i w:val="0"/>
          <w:sz w:val="22"/>
        </w:rPr>
        <w:t>The following witness statements were prepared from interviews conducted in this matter between September 8, 2026 and September 16, 2026. They appear in the order in which the underlying interviews were conducted. Each statement is a third-person summary of the witness's account, drafted from the investigator's contemporaneous notes and the recordings of the interviews. Each has been provided to its respective witness for review of accuracy.</w:t>
      </w:r>
    </w:p>
    <w:p>
      <w:pPr>
        <w:spacing w:after="160"/>
      </w:pPr>
      <w:r>
        <w:rPr>
          <w:rFonts w:ascii="Playfair Display" w:hAnsi="Playfair Display" w:eastAsia="Playfair Display"/>
          <w:b/>
          <w:i w:val="0"/>
          <w:color w:val="2D4D42"/>
          <w:sz w:val="26"/>
        </w:rPr>
        <w:t>Table of Contents</w:t>
      </w:r>
    </w:p>
    <w:p>
      <w:pPr>
        <w:spacing w:after="60"/>
      </w:pPr>
      <w:r>
        <w:rPr>
          <w:rFonts w:ascii="Montserrat" w:hAnsi="Montserrat" w:eastAsia="Montserrat"/>
          <w:b w:val="0"/>
          <w:i w:val="0"/>
          <w:sz w:val="22"/>
        </w:rPr>
        <w:t>Statement of Alex Sample — interviewed September 8, 2026</w:t>
      </w:r>
    </w:p>
    <w:p>
      <w:pPr>
        <w:spacing w:after="60"/>
      </w:pPr>
      <w:r>
        <w:rPr>
          <w:rFonts w:ascii="Montserrat" w:hAnsi="Montserrat" w:eastAsia="Montserrat"/>
          <w:b w:val="0"/>
          <w:i w:val="0"/>
          <w:sz w:val="22"/>
        </w:rPr>
        <w:t>Statement of Bailey Example — interviewed [date]</w:t>
      </w:r>
    </w:p>
    <w:p>
      <w:pPr>
        <w:spacing w:after="60"/>
      </w:pPr>
      <w:r>
        <w:rPr>
          <w:rFonts w:ascii="Montserrat" w:hAnsi="Montserrat" w:eastAsia="Montserrat"/>
          <w:b w:val="0"/>
          <w:i w:val="0"/>
          <w:sz w:val="22"/>
        </w:rPr>
        <w:t>Statement of Cameron Demo — interviewed September 11, 2026</w:t>
      </w:r>
    </w:p>
    <w:p>
      <w:pPr>
        <w:spacing w:after="60"/>
      </w:pPr>
      <w:r>
        <w:rPr>
          <w:rFonts w:ascii="Montserrat" w:hAnsi="Montserrat" w:eastAsia="Montserrat"/>
          <w:b w:val="0"/>
          <w:i w:val="0"/>
          <w:sz w:val="22"/>
        </w:rPr>
        <w:t>Statement of Devon Placeholder — interviewed September 16, 2026</w:t>
      </w:r>
    </w:p>
    <w:p>
      <w:r>
        <w:br w:type="page"/>
      </w:r>
    </w:p>
    <w:p>
      <w:pPr>
        <w:pStyle w:val="Heading1"/>
        <w:spacing w:before="320" w:after="120"/>
      </w:pPr>
      <w:r>
        <w:rPr>
          <w:rFonts w:ascii="Playfair Display" w:hAnsi="Playfair Display" w:eastAsia="Playfair Display"/>
          <w:b/>
          <w:i w:val="0"/>
          <w:color w:val="2D4D42"/>
          <w:sz w:val="30"/>
        </w:rPr>
        <w:t>Statement of Alex Sample</w:t>
      </w:r>
    </w:p>
    <w:p>
      <w:pPr>
        <w:spacing w:after="160"/>
      </w:pPr>
      <w:r>
        <w:rPr>
          <w:rFonts w:ascii="Montserrat" w:hAnsi="Montserrat" w:eastAsia="Montserrat"/>
          <w:b w:val="0"/>
          <w:i w:val="0"/>
          <w:sz w:val="22"/>
        </w:rPr>
        <w:t>On September 8, 2026, I interviewed Alex Sample, who is employed as Senior Budget Analyst at Example State Operations Office. [Ms./Mr.] Sample is the complainant in this matter.</w:t>
      </w:r>
    </w:p>
    <w:p>
      <w:pPr>
        <w:spacing w:after="160"/>
      </w:pPr>
      <w:r>
        <w:rPr>
          <w:rFonts w:ascii="Montserrat" w:hAnsi="Montserrat" w:eastAsia="Montserrat"/>
          <w:b w:val="0"/>
          <w:i w:val="0"/>
          <w:sz w:val="22"/>
        </w:rPr>
        <w:t>[Third-person summary of the witness's account, in the order the topics arose, with direct quotations where the exact words matter.]</w:t>
      </w:r>
    </w:p>
    <w:p>
      <w:r>
        <w:br w:type="page"/>
      </w:r>
    </w:p>
    <w:p>
      <w:pPr>
        <w:pStyle w:val="Heading1"/>
        <w:spacing w:before="320" w:after="120"/>
      </w:pPr>
      <w:r>
        <w:rPr>
          <w:rFonts w:ascii="Playfair Display" w:hAnsi="Playfair Display" w:eastAsia="Playfair Display"/>
          <w:b/>
          <w:i w:val="0"/>
          <w:color w:val="2D4D42"/>
          <w:sz w:val="30"/>
        </w:rPr>
        <w:t>Statement of Bailey Example</w:t>
      </w:r>
    </w:p>
    <w:p>
      <w:pPr>
        <w:spacing w:after="160"/>
      </w:pPr>
      <w:r>
        <w:rPr>
          <w:rFonts w:ascii="Montserrat" w:hAnsi="Montserrat" w:eastAsia="Montserrat"/>
          <w:b w:val="0"/>
          <w:i w:val="0"/>
          <w:sz w:val="22"/>
        </w:rPr>
        <w:t>On [date], I interviewed Bailey Example, who is employed as Budget Manager at Example State Operations Office. [Ms./Mr.] Example is the respondent in this matter.</w:t>
      </w:r>
    </w:p>
    <w:p>
      <w:pPr>
        <w:spacing w:after="160"/>
      </w:pPr>
      <w:r>
        <w:rPr>
          <w:rFonts w:ascii="Montserrat" w:hAnsi="Montserrat" w:eastAsia="Montserrat"/>
          <w:b w:val="0"/>
          <w:i w:val="0"/>
          <w:sz w:val="22"/>
        </w:rPr>
        <w:t>[Third-person summary of the witness's account, in the order the topics arose, with direct quotations where the exact words matter.]</w:t>
      </w:r>
    </w:p>
    <w:p>
      <w:r>
        <w:br w:type="page"/>
      </w:r>
    </w:p>
    <w:p>
      <w:pPr>
        <w:pStyle w:val="Heading1"/>
        <w:spacing w:before="320" w:after="120"/>
      </w:pPr>
      <w:r>
        <w:rPr>
          <w:rFonts w:ascii="Playfair Display" w:hAnsi="Playfair Display" w:eastAsia="Playfair Display"/>
          <w:b/>
          <w:i w:val="0"/>
          <w:color w:val="2D4D42"/>
          <w:sz w:val="30"/>
        </w:rPr>
        <w:t>Statement of Cameron Demo</w:t>
      </w:r>
    </w:p>
    <w:p>
      <w:pPr>
        <w:spacing w:after="160"/>
      </w:pPr>
      <w:r>
        <w:rPr>
          <w:rFonts w:ascii="Montserrat" w:hAnsi="Montserrat" w:eastAsia="Montserrat"/>
          <w:b w:val="0"/>
          <w:i w:val="0"/>
          <w:sz w:val="22"/>
        </w:rPr>
        <w:t>On September 11, 2026, I interviewed Cameron Demo, who is employed as Budget Analyst at Example State Operations Office.</w:t>
      </w:r>
    </w:p>
    <w:p>
      <w:pPr>
        <w:spacing w:after="160"/>
      </w:pPr>
      <w:r>
        <w:rPr>
          <w:rFonts w:ascii="Montserrat" w:hAnsi="Montserrat" w:eastAsia="Montserrat"/>
          <w:b w:val="0"/>
          <w:i w:val="0"/>
          <w:sz w:val="22"/>
        </w:rPr>
        <w:t>[Third-person summary of the witness's account, in the order the topics arose, with direct quotations where the exact words matter.]</w:t>
      </w:r>
    </w:p>
    <w:p>
      <w:r>
        <w:br w:type="page"/>
      </w:r>
    </w:p>
    <w:p>
      <w:pPr>
        <w:pStyle w:val="Heading1"/>
        <w:spacing w:before="320" w:after="120"/>
      </w:pPr>
      <w:r>
        <w:rPr>
          <w:rFonts w:ascii="Playfair Display" w:hAnsi="Playfair Display" w:eastAsia="Playfair Display"/>
          <w:b/>
          <w:i w:val="0"/>
          <w:color w:val="2D4D42"/>
          <w:sz w:val="30"/>
        </w:rPr>
        <w:t>Statement of Devon Placeholder</w:t>
      </w:r>
    </w:p>
    <w:p>
      <w:pPr>
        <w:spacing w:after="160"/>
      </w:pPr>
      <w:r>
        <w:rPr>
          <w:rFonts w:ascii="Montserrat" w:hAnsi="Montserrat" w:eastAsia="Montserrat"/>
          <w:b w:val="0"/>
          <w:i w:val="0"/>
          <w:sz w:val="22"/>
        </w:rPr>
        <w:t>On September 16, 2026, I interviewed Devon Placeholder, who is employed as Forecasting Lead at Example State Operations Office.</w:t>
      </w:r>
    </w:p>
    <w:p>
      <w:pPr>
        <w:spacing w:after="160"/>
      </w:pPr>
      <w:r>
        <w:rPr>
          <w:rFonts w:ascii="Montserrat" w:hAnsi="Montserrat" w:eastAsia="Montserrat"/>
          <w:b w:val="0"/>
          <w:i w:val="0"/>
          <w:sz w:val="22"/>
        </w:rPr>
        <w:t>[Third-person summary of the witness's account, in the order the topics arose, with direct quotations where the exact words matter.]</w:t>
      </w:r>
    </w:p>
    <w:p>
      <w:r>
        <w:br w:type="page"/>
      </w:r>
    </w:p>
    <w:sectPr w:rsidR="00FC693F" w:rsidRPr="0006063C" w:rsidSect="00034616">
      <w:headerReference w:type="default" r:id="rId9"/>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Montserrat" w:hAnsi="Montserrat" w:eastAsia="Montserrat"/>
        <w:b w:val="0"/>
        <w:i w:val="0"/>
        <w:color w:val="718878"/>
        <w:sz w:val="18"/>
      </w:rPr>
      <w:fldChar w:fldCharType="begin"/>
      <w:instrText xml:space="preserve">PAGE</w:instrText>
      <w:fldChar w:fldCharType="end"/>
    </w:r>
    <w:r>
      <w:rPr>
        <w:rFonts w:ascii="Montserrat" w:hAnsi="Montserrat" w:eastAsia="Montserrat"/>
        <w:b w:val="0"/>
        <w:i w:val="0"/>
        <w:color w:val="718878"/>
        <w:sz w:val="18"/>
      </w:rPr>
      <w:t xml:space="preserve"> | Page</w:t>
    </w:r>
  </w:p>
  <w:p>
    <w:r>
      <w:rPr>
        <w:rFonts w:ascii="Montserrat" w:hAnsi="Montserrat" w:eastAsia="Montserrat"/>
        <w:b w:val="0"/>
        <w:i w:val="0"/>
        <w:color w:val="718878"/>
        <w:sz w:val="18"/>
      </w:rPr>
      <w:t>ESOO/Retaliation complaint, Budget Division Investigation</w:t>
    </w:r>
  </w:p>
  <w:p>
    <w:r>
      <w:rPr>
        <w:rFonts w:ascii="Montserrat" w:hAnsi="Montserrat" w:eastAsia="Montserrat"/>
        <w:b w:val="0"/>
        <w:i w:val="0"/>
        <w:color w:val="718878"/>
        <w:sz w:val="18"/>
      </w:rPr>
      <w:t>FairFind Demo Practice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Montserrat" w:hAnsi="Montserrat" w:eastAsia="Montserrat"/>
      <w:color w:val="1F2A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D4D4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D4D4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